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28A9C6ED" w:rsidR="008430B8" w:rsidRDefault="008812E3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8812E3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ИННОВАЦИОННЫЕ КЛАСТЕРЫ В ГЛОБАЛЬНОЙ ЭКОНОМИКЕ: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8812E3">
        <w:rPr>
          <w:rStyle w:val="a5"/>
          <w:rFonts w:ascii="Times New Roman" w:hAnsi="Times New Roman"/>
          <w:b/>
          <w:caps/>
          <w:color w:val="002060"/>
          <w:sz w:val="28"/>
        </w:rPr>
        <w:t>ТЕОРИЯ И ПРАКТИКА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2F3B0C4" w:rsidR="00A94654" w:rsidRDefault="008812E3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FB31A0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2B680D9" w:rsidR="006F2FAD" w:rsidRPr="00B21777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1777">
        <w:rPr>
          <w:rFonts w:ascii="Times New Roman" w:hAnsi="Times New Roman"/>
          <w:sz w:val="18"/>
          <w:szCs w:val="18"/>
        </w:rPr>
        <w:t>Шифр конференции: МНПК-</w:t>
      </w:r>
      <w:r w:rsidR="008072D1" w:rsidRPr="00B21777">
        <w:rPr>
          <w:rFonts w:ascii="Times New Roman" w:hAnsi="Times New Roman"/>
          <w:sz w:val="18"/>
          <w:szCs w:val="18"/>
        </w:rPr>
        <w:t xml:space="preserve"> ЭК-</w:t>
      </w:r>
      <w:r w:rsidR="008812E3">
        <w:rPr>
          <w:rFonts w:ascii="Times New Roman" w:hAnsi="Times New Roman"/>
          <w:sz w:val="18"/>
          <w:szCs w:val="18"/>
        </w:rPr>
        <w:t>36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62D399B5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812E3">
        <w:rPr>
          <w:rFonts w:ascii="Times New Roman" w:hAnsi="Times New Roman"/>
          <w:b/>
          <w:sz w:val="20"/>
          <w:szCs w:val="20"/>
          <w:u w:val="single"/>
        </w:rPr>
        <w:t>23</w:t>
      </w:r>
      <w:r w:rsidR="00FB31A0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828A27D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8072D1">
        <w:rPr>
          <w:rFonts w:ascii="Times New Roman" w:hAnsi="Times New Roman"/>
          <w:sz w:val="20"/>
          <w:szCs w:val="20"/>
        </w:rPr>
        <w:t>ЭК-</w:t>
      </w:r>
      <w:r w:rsidR="00AF5F89">
        <w:rPr>
          <w:rFonts w:ascii="Times New Roman" w:hAnsi="Times New Roman"/>
          <w:sz w:val="20"/>
          <w:szCs w:val="20"/>
        </w:rPr>
        <w:t>3</w:t>
      </w:r>
      <w:r w:rsidR="008812E3">
        <w:rPr>
          <w:rFonts w:ascii="Times New Roman" w:hAnsi="Times New Roman"/>
          <w:sz w:val="20"/>
          <w:szCs w:val="20"/>
        </w:rPr>
        <w:t>6</w:t>
      </w:r>
      <w:bookmarkStart w:id="0" w:name="_GoBack"/>
      <w:bookmarkEnd w:id="0"/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8AA4CC0" w:rsidR="00AE7B96" w:rsidRPr="00064079" w:rsidRDefault="00AE7B9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8072D1">
              <w:t xml:space="preserve"> </w:t>
            </w:r>
            <w:r w:rsidR="008072D1" w:rsidRPr="008072D1">
              <w:rPr>
                <w:rFonts w:ascii="Times New Roman" w:hAnsi="Times New Roman"/>
                <w:b/>
                <w:sz w:val="18"/>
                <w:szCs w:val="18"/>
              </w:rPr>
              <w:t>ЭК-</w:t>
            </w:r>
            <w:r w:rsidR="00AF5F8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812E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266D90A8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5453341A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702B6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E2777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 регионов.</w:t>
            </w:r>
          </w:p>
          <w:p w14:paraId="2B27C7E0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302B988B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1387E0DE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5ECA6C5A" w:rsidR="002E294B" w:rsidRPr="00064079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EFEF93C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0D068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13F54" w14:textId="77777777" w:rsidR="00617749" w:rsidRDefault="00617749" w:rsidP="009D4EA3">
      <w:pPr>
        <w:spacing w:after="0" w:line="240" w:lineRule="auto"/>
      </w:pPr>
      <w:r>
        <w:separator/>
      </w:r>
    </w:p>
  </w:endnote>
  <w:endnote w:type="continuationSeparator" w:id="0">
    <w:p w14:paraId="0F86E55C" w14:textId="77777777" w:rsidR="00617749" w:rsidRDefault="0061774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B60A6" w14:textId="77777777" w:rsidR="00617749" w:rsidRDefault="00617749" w:rsidP="009D4EA3">
      <w:pPr>
        <w:spacing w:after="0" w:line="240" w:lineRule="auto"/>
      </w:pPr>
      <w:r>
        <w:separator/>
      </w:r>
    </w:p>
  </w:footnote>
  <w:footnote w:type="continuationSeparator" w:id="0">
    <w:p w14:paraId="5B188851" w14:textId="77777777" w:rsidR="00617749" w:rsidRDefault="0061774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0680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463E0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922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749"/>
    <w:rsid w:val="00620E9E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2D1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4C64"/>
    <w:rsid w:val="00867196"/>
    <w:rsid w:val="00871FE8"/>
    <w:rsid w:val="008812E3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3735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AF5F89"/>
    <w:rsid w:val="00B02B41"/>
    <w:rsid w:val="00B05A14"/>
    <w:rsid w:val="00B112B4"/>
    <w:rsid w:val="00B124BF"/>
    <w:rsid w:val="00B13628"/>
    <w:rsid w:val="00B1522E"/>
    <w:rsid w:val="00B21777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8204B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73E6D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31A0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720F-8EE6-4DB8-B35F-705AE69F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2018-06-14T16:24:00Z</dcterms:created>
  <dcterms:modified xsi:type="dcterms:W3CDTF">2018-06-14T16:24:00Z</dcterms:modified>
</cp:coreProperties>
</file>