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B2A72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FD50342" w:rsidR="004A2608" w:rsidRPr="004122B6" w:rsidRDefault="00C17C3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17C32">
        <w:rPr>
          <w:b/>
          <w:caps/>
          <w:color w:val="1F4E79"/>
          <w:sz w:val="32"/>
          <w:szCs w:val="20"/>
        </w:rPr>
        <w:t>ЧЕЛОВЕЧЕСКИЙ КАПИТАЛ КАК ФАКТОР ИННОВАЦИОННОГО РАЗВИТИЯ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AF7F30F" w:rsidR="002225C1" w:rsidRPr="004122B6" w:rsidRDefault="00C17C32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6237E3">
        <w:rPr>
          <w:b/>
          <w:sz w:val="32"/>
          <w:szCs w:val="20"/>
        </w:rPr>
        <w:t>2 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2BFD9014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17C32">
        <w:rPr>
          <w:b/>
          <w:color w:val="1F4E79"/>
          <w:sz w:val="32"/>
          <w:szCs w:val="20"/>
        </w:rPr>
        <w:t>Оренбург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FEF2DF1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D035D4">
        <w:rPr>
          <w:b/>
          <w:sz w:val="20"/>
          <w:szCs w:val="20"/>
        </w:rPr>
        <w:t>5</w:t>
      </w:r>
      <w:r w:rsidR="003B2A72">
        <w:rPr>
          <w:b/>
          <w:sz w:val="20"/>
          <w:szCs w:val="20"/>
        </w:rPr>
        <w:t>5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5347A10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C17C32">
        <w:rPr>
          <w:b/>
          <w:sz w:val="20"/>
          <w:szCs w:val="20"/>
        </w:rPr>
        <w:t>1</w:t>
      </w:r>
      <w:r w:rsidR="00B10A3F">
        <w:rPr>
          <w:b/>
          <w:sz w:val="20"/>
          <w:szCs w:val="20"/>
        </w:rPr>
        <w:t xml:space="preserve">2 </w:t>
      </w:r>
      <w:r w:rsidR="006237E3">
        <w:rPr>
          <w:b/>
          <w:sz w:val="20"/>
          <w:szCs w:val="20"/>
        </w:rPr>
        <w:t>марта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3F052ACA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D035D4">
        <w:rPr>
          <w:b/>
          <w:sz w:val="20"/>
          <w:szCs w:val="20"/>
        </w:rPr>
        <w:t>5</w:t>
      </w:r>
      <w:r w:rsidR="003B2A72">
        <w:rPr>
          <w:b/>
          <w:sz w:val="20"/>
          <w:szCs w:val="20"/>
        </w:rPr>
        <w:t>5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3B2A72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E44BD96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D035D4" w:rsidRPr="003B2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3B2A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B325E1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17C32" w:rsidRPr="00C17C32">
        <w:rPr>
          <w:color w:val="000000"/>
          <w:sz w:val="20"/>
          <w:szCs w:val="20"/>
          <w:shd w:val="clear" w:color="auto" w:fill="FFFFFF"/>
        </w:rPr>
        <w:t>Человеческий капитал как фактор инновационного развития общества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17C32">
        <w:rPr>
          <w:color w:val="000000"/>
          <w:sz w:val="20"/>
          <w:szCs w:val="20"/>
          <w:shd w:val="clear" w:color="auto" w:fill="FFFFFF"/>
        </w:rPr>
        <w:t>Оренбург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C17C32">
        <w:rPr>
          <w:color w:val="000000"/>
          <w:sz w:val="20"/>
          <w:szCs w:val="20"/>
          <w:shd w:val="clear" w:color="auto" w:fill="FFFFFF"/>
        </w:rPr>
        <w:t>1</w:t>
      </w:r>
      <w:r w:rsidR="006237E3">
        <w:rPr>
          <w:color w:val="000000"/>
          <w:sz w:val="20"/>
          <w:szCs w:val="20"/>
          <w:shd w:val="clear" w:color="auto" w:fill="FFFFFF"/>
        </w:rPr>
        <w:t>2.03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238F" w14:textId="77777777" w:rsidR="000025CA" w:rsidRDefault="000025CA" w:rsidP="0023371C">
      <w:r>
        <w:separator/>
      </w:r>
    </w:p>
  </w:endnote>
  <w:endnote w:type="continuationSeparator" w:id="0">
    <w:p w14:paraId="2F80F015" w14:textId="77777777" w:rsidR="000025CA" w:rsidRDefault="000025CA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56AD" w14:textId="77777777" w:rsidR="000025CA" w:rsidRDefault="000025CA" w:rsidP="0023371C">
      <w:r>
        <w:separator/>
      </w:r>
    </w:p>
  </w:footnote>
  <w:footnote w:type="continuationSeparator" w:id="0">
    <w:p w14:paraId="099270CB" w14:textId="77777777" w:rsidR="000025CA" w:rsidRDefault="000025CA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3737C08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C17C32">
      <w:rPr>
        <w:sz w:val="18"/>
      </w:rPr>
      <w:t>Ч</w:t>
    </w:r>
    <w:r w:rsidR="00C17C32" w:rsidRPr="00C17C32">
      <w:rPr>
        <w:sz w:val="18"/>
      </w:rPr>
      <w:t>еловеческий капитал как фактор инновационного развития общества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025CA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B2A72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418A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3266-3AAD-4DB2-A502-C4D6A1D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2020-11-25T16:25:00Z</dcterms:created>
  <dcterms:modified xsi:type="dcterms:W3CDTF">2020-12-01T06:07:00Z</dcterms:modified>
</cp:coreProperties>
</file>