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A82DD3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СИСТЕМНАЯ ТРАНСФОРМАЦИЯ – ОСНОВА УСТОЙЧИВОГО ИННОВАЦИОННОГО РАЗВИТИЯ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A82DD3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марта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A82DD3">
              <w:rPr>
                <w:rFonts w:ascii="Times New Roman" w:hAnsi="Times New Roman"/>
                <w:b/>
                <w:sz w:val="28"/>
              </w:rPr>
              <w:t>Казань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A82DD3">
        <w:rPr>
          <w:rFonts w:ascii="Times New Roman" w:hAnsi="Times New Roman"/>
          <w:b/>
          <w:sz w:val="20"/>
          <w:szCs w:val="20"/>
        </w:rPr>
        <w:t>01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A82DD3">
        <w:rPr>
          <w:rFonts w:ascii="Times New Roman" w:hAnsi="Times New Roman"/>
          <w:b/>
          <w:sz w:val="20"/>
          <w:szCs w:val="20"/>
        </w:rPr>
        <w:t>NK-397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A82DD3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NK-397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A82DD3">
      <w:rPr>
        <w:rFonts w:ascii="Times New Roman" w:hAnsi="Times New Roman"/>
        <w:b/>
        <w:noProof/>
        <w:spacing w:val="4"/>
        <w:sz w:val="14"/>
        <w:szCs w:val="16"/>
        <w:lang w:eastAsia="ru-RU"/>
      </w:rPr>
      <w:t>СИСТЕМНАЯ ТРАНСФОРМАЦИЯ – ОСНОВА УСТОЙЧИВОГО ИННОВАЦИОННОГО РАЗВИТИЯ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2DD3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3B59D4-9121-4648-8B6B-432C403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