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E95B5A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ИНФОРМАЦИОННОЕ ОБЕСПЕЧЕНИЕ НАУЧНО-ТЕХНИЧЕСКОГО ПРОГРЕССА: АНАЛИЗ ПРОБЛЕМ И ПОИСК РЕШЕНИЙ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E95B5A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марта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E95B5A">
              <w:rPr>
                <w:rFonts w:ascii="Times New Roman" w:hAnsi="Times New Roman"/>
                <w:b/>
                <w:sz w:val="28"/>
              </w:rPr>
              <w:t>Омск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E95B5A">
        <w:rPr>
          <w:rFonts w:ascii="Times New Roman" w:hAnsi="Times New Roman"/>
          <w:b/>
          <w:sz w:val="20"/>
          <w:szCs w:val="20"/>
        </w:rPr>
        <w:t>20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E95B5A">
        <w:rPr>
          <w:rFonts w:ascii="Times New Roman" w:hAnsi="Times New Roman"/>
          <w:b/>
          <w:sz w:val="20"/>
          <w:szCs w:val="20"/>
        </w:rPr>
        <w:t>NK-400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E95B5A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NK-400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 марта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E95B5A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ИНФОРМАЦИОННОЕ ОБЕСПЕЧЕНИЕ НАУЧНО-ТЕХНИЧЕСКОГО ПРОГРЕССА: АНАЛИЗ ПРОБЛЕМ И ПОИСК РЕШЕНИЙ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5B5A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D171FA-CF7E-496B-993A-B02E6B8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