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EB7F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</w:t>
      </w:r>
      <w:r w:rsidR="00BF7ECC">
        <w:rPr>
          <w:rFonts w:cs="Times New Roman"/>
          <w:b/>
          <w:color w:val="FF0000"/>
          <w:sz w:val="32"/>
          <w:szCs w:val="32"/>
        </w:rPr>
        <w:t>мара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BF7EC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11</w:t>
      </w:r>
      <w:r w:rsidR="00EB7F3F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BF7ECC" w:rsidP="001F135C">
      <w:pPr>
        <w:jc w:val="center"/>
        <w:rPr>
          <w:rFonts w:ascii="Arial" w:hAnsi="Arial" w:cs="Arial"/>
          <w:sz w:val="30"/>
          <w:szCs w:val="30"/>
        </w:rPr>
      </w:pPr>
      <w:r w:rsidRPr="00BF7ECC">
        <w:rPr>
          <w:rFonts w:ascii="Arial" w:hAnsi="Arial" w:cs="Arial"/>
          <w:sz w:val="30"/>
          <w:szCs w:val="30"/>
        </w:rPr>
        <w:t>СОВРЕМЕННАЯ НАУЧНАЯ ДЕЯТЕЛЬНОСТЬ: ТЕОРИЯ И ПРАКТИКА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F7ECC">
        <w:rPr>
          <w:rFonts w:eastAsia="Calibri" w:cs="Times New Roman"/>
          <w:sz w:val="24"/>
          <w:szCs w:val="24"/>
        </w:rPr>
        <w:t>11</w:t>
      </w:r>
      <w:r w:rsidR="00EB7F3F">
        <w:rPr>
          <w:rFonts w:eastAsia="Calibri" w:cs="Times New Roman"/>
          <w:sz w:val="24"/>
          <w:szCs w:val="24"/>
        </w:rPr>
        <w:t xml:space="preserve"> мая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F7ECC">
        <w:rPr>
          <w:b/>
          <w:sz w:val="24"/>
        </w:rPr>
        <w:t>11</w:t>
      </w:r>
      <w:r w:rsidR="00EB7F3F">
        <w:rPr>
          <w:b/>
          <w:sz w:val="24"/>
        </w:rPr>
        <w:t xml:space="preserve"> мая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8A387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8A387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8A387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3871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1ABF-D8E0-484C-A3C1-6482A0F5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