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BE268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Астрахань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BE268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20</w:t>
      </w:r>
      <w:r w:rsidR="003B79AD">
        <w:rPr>
          <w:rFonts w:cs="Times New Roman"/>
          <w:b/>
          <w:color w:val="FF0000"/>
          <w:sz w:val="32"/>
          <w:szCs w:val="32"/>
        </w:rPr>
        <w:t xml:space="preserve"> апреля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BE268E" w:rsidP="001F135C">
      <w:pPr>
        <w:jc w:val="center"/>
        <w:rPr>
          <w:rFonts w:ascii="Arial" w:hAnsi="Arial" w:cs="Arial"/>
          <w:sz w:val="30"/>
          <w:szCs w:val="30"/>
        </w:rPr>
      </w:pPr>
      <w:r w:rsidRPr="00BE268E">
        <w:rPr>
          <w:rFonts w:ascii="Arial" w:hAnsi="Arial" w:cs="Arial"/>
          <w:sz w:val="30"/>
          <w:szCs w:val="30"/>
        </w:rPr>
        <w:t>СОВРЕМЕННАЯ НАУКА КАК ОСНОВА ИННОВАЦИОННОГО ПРОГРЕССА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E268E">
        <w:rPr>
          <w:rFonts w:eastAsia="Calibri" w:cs="Times New Roman"/>
          <w:sz w:val="24"/>
          <w:szCs w:val="24"/>
        </w:rPr>
        <w:t>20</w:t>
      </w:r>
      <w:r>
        <w:rPr>
          <w:rFonts w:eastAsia="Calibri" w:cs="Times New Roman"/>
          <w:sz w:val="24"/>
          <w:szCs w:val="24"/>
        </w:rPr>
        <w:t xml:space="preserve"> апреля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E268E">
        <w:rPr>
          <w:b/>
          <w:sz w:val="24"/>
        </w:rPr>
        <w:t>20</w:t>
      </w:r>
      <w:r>
        <w:rPr>
          <w:b/>
          <w:sz w:val="24"/>
        </w:rPr>
        <w:t xml:space="preserve"> апреля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11C7A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F11C7A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F11C7A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11C7A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C9D-9C93-4807-94AA-94335B69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