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EB7F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EB7F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4 мая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EB7F3F" w:rsidP="001F135C">
      <w:pPr>
        <w:jc w:val="center"/>
        <w:rPr>
          <w:rFonts w:ascii="Arial" w:hAnsi="Arial" w:cs="Arial"/>
          <w:sz w:val="30"/>
          <w:szCs w:val="30"/>
        </w:rPr>
      </w:pPr>
      <w:r w:rsidRPr="00EB7F3F">
        <w:rPr>
          <w:rFonts w:ascii="Arial" w:hAnsi="Arial" w:cs="Arial"/>
          <w:sz w:val="30"/>
          <w:szCs w:val="30"/>
        </w:rPr>
        <w:t>АКТУАЛЬНЫЕ ПРОБЛЕМЫ РАЗВИТИЯ НАУЧНОГО ПОТЕНЦИАЛА ОБЩЕСТВА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B7F3F">
        <w:rPr>
          <w:rFonts w:eastAsia="Calibri" w:cs="Times New Roman"/>
          <w:sz w:val="24"/>
          <w:szCs w:val="24"/>
        </w:rPr>
        <w:t>4 мая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EB7F3F">
        <w:rPr>
          <w:b/>
          <w:sz w:val="24"/>
        </w:rPr>
        <w:t>4 мая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7F40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7F40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7F405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405D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D8D0-C726-4448-AF7F-3FB7C5A3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