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6E37E7B3" w:rsidR="00F62103" w:rsidRDefault="00221287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ТЕХНОЛОГИИ СОВРЕМЕННОЙ НАУЧНОЙ ДЕЯТЕЛЬНОСТИ: СТРАТЕГИЯ, ЗАДАЧИ, ВНЕДРЕНИЕ</w:t>
      </w:r>
    </w:p>
    <w:p w14:paraId="73F27A6C" w14:textId="0EFB63FE" w:rsidR="005D2D21" w:rsidRPr="00121B5C" w:rsidRDefault="0022128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Магнитогорск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09F0B6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221287">
        <w:rPr>
          <w:rFonts w:ascii="Tahoma" w:eastAsia="Arial Unicode MS" w:hAnsi="Tahoma" w:cs="Tahoma"/>
          <w:b/>
        </w:rPr>
        <w:t>MNPK-397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2E8B0C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21287">
        <w:rPr>
          <w:rFonts w:ascii="Tahoma" w:eastAsia="Arial Unicode MS" w:hAnsi="Tahoma" w:cs="Tahoma"/>
          <w:b/>
          <w:u w:val="single"/>
        </w:rPr>
        <w:t>06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1B92906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221287">
        <w:rPr>
          <w:rFonts w:ascii="Tahoma" w:eastAsia="Arial Unicode MS" w:hAnsi="Tahoma" w:cs="Tahoma"/>
          <w:b/>
        </w:rPr>
        <w:t>MNPK-397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22128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2457B0C" w:rsidR="00390A95" w:rsidRPr="00F63202" w:rsidRDefault="00221287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MNPK-397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22128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128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