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3E14369C" w:rsidR="006B0CC2" w:rsidRPr="00C8656D" w:rsidRDefault="002176AC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ЕДИНСТВО НАУКИ И ОБРАЗОВАНИЯ КАК ИНСТРУМЕНТ ПЕРЕХОДА К ПОСТИНДУСТРИАЛЬНОМУ МИРУ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1BC60216" w:rsidR="006B0CC2" w:rsidRPr="00C8656D" w:rsidRDefault="002176AC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02 сентября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2C7CBEB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2176AC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Казань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47B72F49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2176AC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KON-518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4D692EDE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2176AC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02 сентября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178FAC1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176AC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KON-518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618B01D3" w:rsidR="006B0CC2" w:rsidRPr="00C8656D" w:rsidRDefault="002176AC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KON-518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 сентября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3BABF395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176AC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ЕДИНСТВО НАУКИ И ОБРАЗОВАНИЯ КАК ИНСТРУМЕНТ ПЕРЕХОДА К ПОСТИНДУСТРИАЛЬНОМУ МИРУ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2176AC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Казань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176AC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02 сентября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502ACBEB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2176AC">
      <w:rPr>
        <w:rFonts w:asciiTheme="minorHAnsi" w:hAnsiTheme="minorHAnsi" w:cstheme="minorHAnsi"/>
        <w:sz w:val="16"/>
        <w:szCs w:val="16"/>
      </w:rPr>
      <w:t>ЕДИНСТВО НАУКИ И ОБРАЗОВАНИЯ КАК ИНСТРУМЕНТ ПЕРЕХОДА К ПОСТИНДУСТРИАЛЬНОМУ МИРУ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9F"/>
    <w:rsid w:val="002176AC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9284</Characters>
  <Application>Microsoft Office Word</Application>
  <DocSecurity>0</DocSecurity>
  <Lines>345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10711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