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755"/>
          <w:tab w:val="left" w:leader="none" w:pos="3450"/>
          <w:tab w:val="center" w:leader="none" w:pos="4808"/>
        </w:tabs>
        <w:spacing w:after="12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X</w:t>
      </w:r>
      <w:r w:rsidDel="00000000" w:rsidR="00000000" w:rsidRPr="00000000">
        <w:rPr>
          <w:b w:val="1"/>
          <w:sz w:val="28"/>
          <w:szCs w:val="28"/>
          <w:rtl w:val="0"/>
        </w:rPr>
        <w:t xml:space="preserve">II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Международная студенческая конференция </w:t>
      </w:r>
    </w:p>
    <w:p w:rsidR="00000000" w:rsidDel="00000000" w:rsidP="00000000" w:rsidRDefault="00000000" w:rsidRPr="00000000" w14:paraId="00000002">
      <w:pPr>
        <w:tabs>
          <w:tab w:val="left" w:leader="none" w:pos="1755"/>
          <w:tab w:val="left" w:leader="none" w:pos="3450"/>
          <w:tab w:val="center" w:leader="none" w:pos="4808"/>
        </w:tabs>
        <w:spacing w:after="12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«Смольные чтения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—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3">
      <w:pPr>
        <w:tabs>
          <w:tab w:val="left" w:leader="none" w:pos="1755"/>
          <w:tab w:val="left" w:leader="none" w:pos="3450"/>
          <w:tab w:val="center" w:leader="none" w:pos="4808"/>
        </w:tabs>
        <w:spacing w:after="12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Факультет свободных искусств и наук </w:t>
        <w:br w:type="textWrapping"/>
        <w:t xml:space="preserve">Санкт-Петербургский государственный университет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–</w:t>
      </w:r>
      <w:r w:rsidDel="00000000" w:rsidR="00000000" w:rsidRPr="00000000">
        <w:rPr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апреля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28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7">
      <w:pPr>
        <w:spacing w:after="120" w:line="276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Мы приглашаем студентов, аспирантов и молодых ученых до 35 лет без степени, специализирующихся в разных областях науки и искусств, принять участие в X</w:t>
      </w:r>
      <w:r w:rsidDel="00000000" w:rsidR="00000000" w:rsidRPr="00000000">
        <w:rPr>
          <w:sz w:val="24"/>
          <w:szCs w:val="24"/>
          <w:rtl w:val="0"/>
        </w:rPr>
        <w:t xml:space="preserve">II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Международной студенческой конференции «Смольные чтения — 202</w:t>
      </w:r>
      <w:r w:rsidDel="00000000" w:rsidR="00000000" w:rsidRPr="00000000">
        <w:rPr>
          <w:sz w:val="24"/>
          <w:szCs w:val="24"/>
          <w:rtl w:val="0"/>
        </w:rPr>
        <w:t xml:space="preserve">4. Under the arch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». Конференция будет проходить 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–</w:t>
      </w:r>
      <w:r w:rsidDel="00000000" w:rsidR="00000000" w:rsidRPr="00000000">
        <w:rPr>
          <w:sz w:val="24"/>
          <w:szCs w:val="24"/>
          <w:rtl w:val="0"/>
        </w:rPr>
        <w:t xml:space="preserve">14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апреля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года в смешанном формате в Санкт-Петербургском государственном университете во </w:t>
      </w:r>
      <w:r w:rsidDel="00000000" w:rsidR="00000000" w:rsidRPr="00000000">
        <w:rPr>
          <w:sz w:val="24"/>
          <w:szCs w:val="24"/>
          <w:rtl w:val="0"/>
        </w:rPr>
        <w:t xml:space="preserve">Д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ворце Бобринских (Санкт-Петербург, ул. Галерная, 58–60)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120" w:line="276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Смольные чтения. Under the 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76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Арка – это место транзита. С архитектурной точки зрения арка является несущей конструкцией, опорой. Она служит входом и выходом, замыкаясь сама на себе, становится обособленным пространством. Благодаря этому под ее сводами мы можем обрести временное пристанище, дающее нам необходимое постоянство для осмысления происходящего – трудного и неопределенного, заполняющего наши мысли. Одновременно с этим метафорическая арка соединяет внешнее и внутреннее, старое и новое, свое и чужое, указывая путь для непрерывного движения. Исследователь получает возможность расширить горизонты своего знания, не разрывая с традицией и не покидая надежного мира за собой. Так и мы: не только рассчитываем на поддержку в своем сообществе, но и продолжаем поиски близких по духу исследователей вне Смольного.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этом году в программу конференции войдут секционные доклады, круглые столы, воркшопы, лекции ведущих ученых и преподавателей СПбГУ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Рабочие языки конференции — русский и английский.</w:t>
      </w:r>
    </w:p>
    <w:p w:rsidR="00000000" w:rsidDel="00000000" w:rsidP="00000000" w:rsidRDefault="00000000" w:rsidRPr="00000000" w14:paraId="0000000C">
      <w:pPr>
        <w:spacing w:after="120" w:line="276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Основные направления работы конференции: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Визуальные искусства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Кино и 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Музыка и театр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Когнитивные исследования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Gamestudies (исследования видеоигр)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Социальные и политические науки  (МО, политология, экономика)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Социология и антропология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История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Философия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Филология и 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Востоковедение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рамках основных направлений конференции будут работать секции. Точная тематика и количество секций будут определены после окончания приёма тезисов.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На конференции особенно приветствуются исследования с междисциплинарным подходом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after="120" w:line="276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Участие в конференции</w:t>
      </w:r>
    </w:p>
    <w:p w:rsidR="00000000" w:rsidDel="00000000" w:rsidP="00000000" w:rsidRDefault="00000000" w:rsidRPr="00000000" w14:paraId="0000001A">
      <w:pPr>
        <w:spacing w:after="120" w:line="276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Заявки на участие в конференции принимаются до 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января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года включительно. </w:t>
      </w:r>
    </w:p>
    <w:p w:rsidR="00000000" w:rsidDel="00000000" w:rsidP="00000000" w:rsidRDefault="00000000" w:rsidRPr="00000000" w14:paraId="0000001B">
      <w:pPr>
        <w:spacing w:after="120" w:lineRule="auto"/>
        <w:rPr>
          <w:b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Подать заявку можно на сайте конференции: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https://smolcon.spbu.ru/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highlight w:val="yellow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От каждого автора принимается только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одна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заявка с тезисами, которые могут быть написаны им самостоятельно или в соавторстве. Если тезисы подаются в соавторстве, то информация об обоих авторах указывается в одной общей заявке. Также необходимо указать, к какому направлению работы конференции относятся тезисы. Подать несколько заявок можно только в том случае, если в первой заявке участник является первым автором, а во второй заявке — вторым. Подробные требования к тезисам представлены в Приложении 1.</w:t>
      </w:r>
    </w:p>
    <w:p w:rsidR="00000000" w:rsidDel="00000000" w:rsidP="00000000" w:rsidRDefault="00000000" w:rsidRPr="00000000" w14:paraId="0000001D">
      <w:pPr>
        <w:spacing w:after="120" w:line="276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Каждые тезисы пройдут процесс слепого рецензирования двумя независимыми экспертами в соответствии с указанным в заявке направлением работы конференции. Информация о результатах отбора будет направлена авторам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до 23:59 </w:t>
      </w:r>
      <w:r w:rsidDel="00000000" w:rsidR="00000000" w:rsidRPr="00000000">
        <w:rPr>
          <w:b w:val="1"/>
          <w:sz w:val="24"/>
          <w:szCs w:val="24"/>
          <w:rtl w:val="0"/>
        </w:rPr>
        <w:t xml:space="preserve">25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февраля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года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После оглашения </w:t>
      </w:r>
      <w:r w:rsidDel="00000000" w:rsidR="00000000" w:rsidRPr="00000000">
        <w:rPr>
          <w:sz w:val="24"/>
          <w:szCs w:val="24"/>
          <w:rtl w:val="0"/>
        </w:rPr>
        <w:t xml:space="preserve">результатов всем участникам необходимо прислать письменное подтверждение на почту.</w:t>
      </w:r>
    </w:p>
    <w:p w:rsidR="00000000" w:rsidDel="00000000" w:rsidP="00000000" w:rsidRDefault="00000000" w:rsidRPr="00000000" w14:paraId="0000001E">
      <w:pPr>
        <w:spacing w:after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Организационный комитет оставляет за собой право отклонить тезисы, если они не соответствуют требованиям, перечисленным в Приложении 1, а также, если они получены после 5 января 2024 года. </w:t>
      </w:r>
    </w:p>
    <w:p w:rsidR="00000000" w:rsidDel="00000000" w:rsidP="00000000" w:rsidRDefault="00000000" w:rsidRPr="00000000" w14:paraId="0000001F">
      <w:pPr>
        <w:spacing w:after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выступления на конференции участникам, не являющимся студентами СПбГУ, после прохождения отбора необходимо внести организационный сбор в размере 500 рублей. Информация по оплате будет выслана на почту.</w:t>
      </w:r>
    </w:p>
    <w:p w:rsidR="00000000" w:rsidDel="00000000" w:rsidP="00000000" w:rsidRDefault="00000000" w:rsidRPr="00000000" w14:paraId="00000020">
      <w:pPr>
        <w:spacing w:after="120" w:line="276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Публикация лучших докладов</w:t>
      </w:r>
    </w:p>
    <w:p w:rsidR="00000000" w:rsidDel="00000000" w:rsidP="00000000" w:rsidRDefault="00000000" w:rsidRPr="00000000" w14:paraId="00000021">
      <w:pPr>
        <w:spacing w:after="120" w:line="276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связи с переходом к новым требованиям к публикациям, индексируемым в РИНЦ, тезисы будут доступны в виде сборника всем участникам конференции перед ее началом для ознакомления, однако не будут иметь статус полноценной публикации.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 итогам выступлений на секциях планируется</w:t>
      </w:r>
      <w:r w:rsidDel="00000000" w:rsidR="00000000" w:rsidRPr="00000000">
        <w:rPr>
          <w:sz w:val="24"/>
          <w:szCs w:val="24"/>
          <w:rtl w:val="0"/>
        </w:rPr>
        <w:t xml:space="preserve"> подготовка сборника статей на основе докладов участников, которые будут признаны лучшими, для публикации в рецензируемом журнале конференции (индексируемом в базе данных РИНЦ). Работа над созданием данного сборника ведется около года после проведения конференции.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76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Формат проведения конференции</w:t>
      </w:r>
    </w:p>
    <w:p w:rsidR="00000000" w:rsidDel="00000000" w:rsidP="00000000" w:rsidRDefault="00000000" w:rsidRPr="00000000" w14:paraId="00000024">
      <w:pPr>
        <w:spacing w:after="120" w:line="276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Организационный комитет готовится проводить конференцию в смешанном формате, с возможностью как очного, так и дистанционного участия.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="276" w:lineRule="auto"/>
        <w:jc w:val="both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 всем вопросам Вы всегда можете обратиться к организаторам конференции по электронной почте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smolcon@spbu.ru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00" w:lineRule="auto"/>
        <w:jc w:val="both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0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28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Организационный комитет</w:t>
        <w:br w:type="textWrapping"/>
        <w:t xml:space="preserve">XII Студенческих Смольных чтений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76" w:lineRule="auto"/>
        <w:ind w:left="7788" w:firstLine="0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Приложение 1</w:t>
      </w:r>
    </w:p>
    <w:p w:rsidR="00000000" w:rsidDel="00000000" w:rsidP="00000000" w:rsidRDefault="00000000" w:rsidRPr="00000000" w14:paraId="0000002C">
      <w:pPr>
        <w:spacing w:after="12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Требования к тезисам</w:t>
      </w:r>
    </w:p>
    <w:p w:rsidR="00000000" w:rsidDel="00000000" w:rsidP="00000000" w:rsidRDefault="00000000" w:rsidRPr="00000000" w14:paraId="0000002D">
      <w:pPr>
        <w:spacing w:after="120" w:before="12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Тезисы принимаются на английском или русском языке. Пожалуйста, подавайте тезисы на английском языке, только если Вы уверены, что владеете им на высоком уровне и способны написать грамотный академический текст.</w:t>
      </w:r>
    </w:p>
    <w:p w:rsidR="00000000" w:rsidDel="00000000" w:rsidP="00000000" w:rsidRDefault="00000000" w:rsidRPr="00000000" w14:paraId="0000002E">
      <w:pPr>
        <w:spacing w:after="120" w:before="12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Объем тезисов не должен превышать 3 000 знаков, включая пробелы.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В тексте не допускается использование таблиц, изображений, графиков, сносок и примечаний. Информация о грантовой поддержке приводится в конце тезисов.</w:t>
      </w:r>
    </w:p>
    <w:p w:rsidR="00000000" w:rsidDel="00000000" w:rsidP="00000000" w:rsidRDefault="00000000" w:rsidRPr="00000000" w14:paraId="0000002F">
      <w:pPr>
        <w:spacing w:after="120" w:before="120" w:lineRule="auto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Цитирование:</w:t>
      </w:r>
    </w:p>
    <w:p w:rsidR="00000000" w:rsidDel="00000000" w:rsidP="00000000" w:rsidRDefault="00000000" w:rsidRPr="00000000" w14:paraId="00000030">
      <w:pPr>
        <w:spacing w:after="120" w:before="12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Список литературы должен содержать не более 5 источников. Библиографические ссылки в тексте обозначаются сквозной нумерацией в квадратных скобках. Список литературы помещается в отдельном окне после текста тезисов и составляется в порядке упоминания источников в тексте. Список литературы не озаглавливается. В списке литературы указываются все те и только те источники, которые упоминаются в тексте тезисов. </w:t>
      </w:r>
    </w:p>
    <w:p w:rsidR="00000000" w:rsidDel="00000000" w:rsidP="00000000" w:rsidRDefault="00000000" w:rsidRPr="00000000" w14:paraId="00000031">
      <w:pPr>
        <w:spacing w:after="120" w:before="120" w:lineRule="auto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Примеры библиографических ссылок в тексте:</w:t>
      </w:r>
    </w:p>
    <w:p w:rsidR="00000000" w:rsidDel="00000000" w:rsidP="00000000" w:rsidRDefault="00000000" w:rsidRPr="00000000" w14:paraId="00000032">
      <w:pPr>
        <w:spacing w:after="12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Эксперимент И.И. Иванова [1] показал… </w:t>
      </w:r>
    </w:p>
    <w:p w:rsidR="00000000" w:rsidDel="00000000" w:rsidP="00000000" w:rsidRDefault="00000000" w:rsidRPr="00000000" w14:paraId="00000033">
      <w:pPr>
        <w:spacing w:after="12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Многие ученые писали об этой проблеме [2; 3; 4]</w:t>
      </w:r>
    </w:p>
    <w:p w:rsidR="00000000" w:rsidDel="00000000" w:rsidP="00000000" w:rsidRDefault="00000000" w:rsidRPr="00000000" w14:paraId="00000034">
      <w:pPr>
        <w:spacing w:after="12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Как утверждает П.П. Петров [5, p. 25]…</w:t>
      </w:r>
    </w:p>
    <w:p w:rsidR="00000000" w:rsidDel="00000000" w:rsidP="00000000" w:rsidRDefault="00000000" w:rsidRPr="00000000" w14:paraId="00000035">
      <w:pPr>
        <w:spacing w:after="120" w:before="120" w:lineRule="auto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Пример оформления списка литературы:</w:t>
      </w:r>
    </w:p>
    <w:p w:rsidR="00000000" w:rsidDel="00000000" w:rsidP="00000000" w:rsidRDefault="00000000" w:rsidRPr="00000000" w14:paraId="00000036">
      <w:pPr>
        <w:spacing w:after="12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Ссылка на книгу: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120" w:lineRule="auto"/>
        <w:ind w:left="720" w:hanging="360"/>
        <w:jc w:val="both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Smith J. 2016 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Experimenting with cross-referencing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 Chicago: University of Chicago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24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Книга под редакцией одного или нескольких редакторов, без указания авторства: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120" w:lineRule="auto"/>
        <w:ind w:left="720" w:hanging="360"/>
        <w:jc w:val="both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Editor A.A.., Editor B.B., Editor C.C. (eds.) 2002. 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How to Edit Things That Need Editing.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Norwell: Kluwer.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24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Авторская статья в книге под общей редакцией: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120" w:lineRule="auto"/>
        <w:ind w:left="720" w:hanging="360"/>
        <w:jc w:val="both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Writer W.W. 2000. 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Writing a Book, Drawing a Picture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 E.Editor (ed.) Editing Books for Life. Cambridge: Cambridge University Press, 215–234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24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Ссылка на статью в журнале: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120" w:lineRule="auto"/>
        <w:ind w:left="720" w:firstLine="284.00000000000006"/>
        <w:jc w:val="both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Author A.A., Author B.B., Author C.C. 1998. How to write a great abstract. 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Journal of Great Abstracts,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18(1), 168–170.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="276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120" w:line="276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Тезисы будут оцениваться по следующим критериям: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120" w:lineRule="auto"/>
        <w:ind w:left="720" w:hanging="36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Научный вклад — исследуемая проблема является актуальной, представляет интерес для научного сообщества.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120" w:lineRule="auto"/>
        <w:ind w:left="720" w:hanging="36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Четко обозначена научная проблема/гипотеза/исследовательский вопрос.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after="120" w:lineRule="auto"/>
        <w:ind w:left="720" w:hanging="36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В тексте тезисов содержится описание методологии исследования. Предложенный метод соответствует поставленной проблеме/гипотезе.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120" w:lineRule="auto"/>
        <w:ind w:left="720" w:hanging="36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Опора на существующие теории/исследования по соответствующей проблематике, подкрепленные ссылками на источник.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120" w:lineRule="auto"/>
        <w:ind w:left="720" w:hanging="36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Наличие реальных или прогнозируемых результатов исследования, соответствующих сформулированной гипотезе/поставленной проблеме. 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120" w:lineRule="auto"/>
        <w:ind w:left="720" w:hanging="36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Текст тезисов соответствуют требованиям академического письма: логичная последовательность изложения, научный стиль.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120" w:lineRule="auto"/>
        <w:ind w:left="720" w:hanging="36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Тезисы не содержат признаков неправомерного заимствования или иных форм нарушения автором научной этики.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molcon.spbu.ru/" TargetMode="External"/><Relationship Id="rId7" Type="http://schemas.openxmlformats.org/officeDocument/2006/relationships/hyperlink" Target="mailto:smolcon@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